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3119"/>
        <w:gridCol w:w="3685"/>
        <w:gridCol w:w="1701"/>
        <w:gridCol w:w="2017"/>
      </w:tblGrid>
      <w:tr w:rsidR="009E07DB" w:rsidRPr="009E07DB" w:rsidTr="00E759A6">
        <w:tc>
          <w:tcPr>
            <w:tcW w:w="12157" w:type="dxa"/>
            <w:gridSpan w:val="4"/>
          </w:tcPr>
          <w:p w:rsidR="009E07DB" w:rsidRPr="007B0F44" w:rsidRDefault="009E07DB" w:rsidP="00F9358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7B0F44">
              <w:rPr>
                <w:rFonts w:ascii="Arial" w:hAnsi="Arial" w:cs="Arial"/>
                <w:b/>
                <w:sz w:val="32"/>
                <w:szCs w:val="24"/>
              </w:rPr>
              <w:t>Foundation Stage</w:t>
            </w:r>
          </w:p>
        </w:tc>
        <w:tc>
          <w:tcPr>
            <w:tcW w:w="2017" w:type="dxa"/>
            <w:vMerge w:val="restart"/>
          </w:tcPr>
          <w:p w:rsidR="009E07DB" w:rsidRDefault="009E07DB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E75E20" w:rsidRDefault="00E75E20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E75E20" w:rsidRPr="009E07DB" w:rsidRDefault="007B0F44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szCs w:val="24"/>
                <w:lang w:eastAsia="en-GB"/>
              </w:rPr>
              <w:drawing>
                <wp:inline distT="0" distB="0" distL="0" distR="0">
                  <wp:extent cx="1210310" cy="1215714"/>
                  <wp:effectExtent l="0" t="0" r="8890" b="3810"/>
                  <wp:docPr id="2" name="Picture 2" descr="C:\Users\DoyleN\Desktop\anima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yleN\Desktop\anima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143" cy="121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E07DB" w:rsidRPr="009E07DB" w:rsidTr="00E759A6">
        <w:tc>
          <w:tcPr>
            <w:tcW w:w="12157" w:type="dxa"/>
            <w:gridSpan w:val="4"/>
          </w:tcPr>
          <w:p w:rsidR="009E07DB" w:rsidRPr="007B0F44" w:rsidRDefault="00BD7BD6" w:rsidP="00F9358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B0F44">
              <w:rPr>
                <w:rFonts w:ascii="Arial" w:hAnsi="Arial" w:cs="Arial"/>
                <w:b/>
                <w:color w:val="FF0000"/>
                <w:sz w:val="32"/>
                <w:szCs w:val="24"/>
              </w:rPr>
              <w:t>Summer 2</w:t>
            </w:r>
          </w:p>
        </w:tc>
        <w:tc>
          <w:tcPr>
            <w:tcW w:w="2017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9E07DB" w:rsidTr="00E759A6">
        <w:tc>
          <w:tcPr>
            <w:tcW w:w="12157" w:type="dxa"/>
            <w:gridSpan w:val="4"/>
          </w:tcPr>
          <w:p w:rsidR="009E07DB" w:rsidRPr="007B0F44" w:rsidRDefault="00BD7BD6" w:rsidP="00F9358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B0F44">
              <w:rPr>
                <w:rFonts w:ascii="Arial" w:hAnsi="Arial" w:cs="Arial"/>
                <w:b/>
                <w:color w:val="FF0000"/>
                <w:sz w:val="32"/>
                <w:szCs w:val="24"/>
              </w:rPr>
              <w:t>Animal Magic</w:t>
            </w:r>
          </w:p>
          <w:p w:rsidR="009E07DB" w:rsidRPr="007B0F44" w:rsidRDefault="009E07DB" w:rsidP="00F93582">
            <w:pPr>
              <w:jc w:val="center"/>
              <w:rPr>
                <w:rFonts w:ascii="Arial" w:hAnsi="Arial" w:cs="Arial"/>
                <w:color w:val="FF0000"/>
                <w:sz w:val="32"/>
                <w:szCs w:val="24"/>
              </w:rPr>
            </w:pPr>
          </w:p>
        </w:tc>
        <w:tc>
          <w:tcPr>
            <w:tcW w:w="2017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871C34" w:rsidTr="00E759A6">
        <w:tc>
          <w:tcPr>
            <w:tcW w:w="12157" w:type="dxa"/>
            <w:gridSpan w:val="4"/>
          </w:tcPr>
          <w:p w:rsidR="00E75E20" w:rsidRPr="00871C34" w:rsidRDefault="00E75E20" w:rsidP="00E75E2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BD7BD6" w:rsidRPr="00EE5878" w:rsidRDefault="00BD7BD6" w:rsidP="00BD7BD6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EE5878">
              <w:rPr>
                <w:rFonts w:cstheme="minorBidi"/>
                <w:color w:val="auto"/>
                <w:sz w:val="20"/>
                <w:szCs w:val="20"/>
              </w:rPr>
              <w:t xml:space="preserve">During this half term we will be exploring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animals, be they domestic pets, farm animals or animals in the wild. </w:t>
            </w:r>
            <w:r w:rsidR="00CA700E">
              <w:rPr>
                <w:rFonts w:cstheme="minorBidi"/>
                <w:color w:val="auto"/>
                <w:sz w:val="20"/>
                <w:szCs w:val="20"/>
              </w:rPr>
              <w:t xml:space="preserve">We will do this </w:t>
            </w:r>
            <w:r w:rsidR="00195F41">
              <w:rPr>
                <w:rFonts w:cstheme="minorBidi"/>
                <w:color w:val="auto"/>
                <w:sz w:val="20"/>
                <w:szCs w:val="20"/>
              </w:rPr>
              <w:t xml:space="preserve">by </w:t>
            </w:r>
            <w:r w:rsidR="00CA700E">
              <w:rPr>
                <w:rFonts w:cstheme="minorBidi"/>
                <w:color w:val="auto"/>
                <w:sz w:val="20"/>
                <w:szCs w:val="20"/>
              </w:rPr>
              <w:t xml:space="preserve">reading and interacting with a range of texts and online sources and also by </w:t>
            </w:r>
            <w:r w:rsidR="00195F41">
              <w:rPr>
                <w:rFonts w:cstheme="minorBidi"/>
                <w:color w:val="auto"/>
                <w:sz w:val="20"/>
                <w:szCs w:val="20"/>
              </w:rPr>
              <w:t xml:space="preserve">taking part in </w:t>
            </w:r>
            <w:r w:rsidR="00CA700E">
              <w:rPr>
                <w:rFonts w:cstheme="minorBidi"/>
                <w:color w:val="auto"/>
                <w:sz w:val="20"/>
                <w:szCs w:val="20"/>
              </w:rPr>
              <w:t xml:space="preserve">a real life event </w:t>
            </w:r>
            <w:r w:rsidR="00195F41">
              <w:rPr>
                <w:rFonts w:cstheme="minorBidi"/>
                <w:color w:val="auto"/>
                <w:sz w:val="20"/>
                <w:szCs w:val="20"/>
              </w:rPr>
              <w:t xml:space="preserve">is to say a </w:t>
            </w:r>
            <w:r w:rsidR="00CA700E">
              <w:rPr>
                <w:rFonts w:cstheme="minorBidi"/>
                <w:color w:val="auto"/>
                <w:sz w:val="20"/>
                <w:szCs w:val="20"/>
              </w:rPr>
              <w:t xml:space="preserve">school trip to </w:t>
            </w:r>
            <w:r w:rsidR="00195F41">
              <w:rPr>
                <w:rFonts w:cstheme="minorBidi"/>
                <w:color w:val="auto"/>
                <w:sz w:val="20"/>
                <w:szCs w:val="20"/>
              </w:rPr>
              <w:t>Knowsley Safari Park or Windmill farm (topic dependent)</w:t>
            </w:r>
            <w:r w:rsidR="00CA700E">
              <w:rPr>
                <w:rFonts w:cstheme="minorBidi"/>
                <w:color w:val="auto"/>
                <w:sz w:val="20"/>
                <w:szCs w:val="20"/>
              </w:rPr>
              <w:t xml:space="preserve">. </w:t>
            </w:r>
            <w:r w:rsidRPr="00EE5878">
              <w:rPr>
                <w:rFonts w:cstheme="minorBidi"/>
                <w:color w:val="auto"/>
                <w:sz w:val="20"/>
                <w:szCs w:val="20"/>
              </w:rPr>
              <w:t xml:space="preserve">We will also use this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half </w:t>
            </w:r>
            <w:r w:rsidRPr="00EE5878">
              <w:rPr>
                <w:rFonts w:cstheme="minorBidi"/>
                <w:color w:val="auto"/>
                <w:sz w:val="20"/>
                <w:szCs w:val="20"/>
              </w:rPr>
              <w:t xml:space="preserve">term to prepare for our very own adventure, moving from Foundation Stage into Year One. </w:t>
            </w:r>
          </w:p>
          <w:p w:rsidR="00871C34" w:rsidRPr="00871C34" w:rsidRDefault="00871C34" w:rsidP="00871C34">
            <w:pPr>
              <w:pStyle w:val="Defaul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:rsidR="009E07DB" w:rsidRPr="00871C34" w:rsidRDefault="009E07D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2252C" w:rsidRPr="00871C34" w:rsidTr="00E759A6">
        <w:tc>
          <w:tcPr>
            <w:tcW w:w="12157" w:type="dxa"/>
            <w:gridSpan w:val="4"/>
          </w:tcPr>
          <w:p w:rsidR="0042252C" w:rsidRDefault="0042252C" w:rsidP="00E75E2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:rsidR="0042252C" w:rsidRPr="00871C34" w:rsidRDefault="0042252C" w:rsidP="00E75E2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017" w:type="dxa"/>
          </w:tcPr>
          <w:p w:rsidR="0042252C" w:rsidRPr="00871C34" w:rsidRDefault="0042252C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93948" w:rsidRPr="00195F41" w:rsidTr="00E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00B050"/>
          </w:tcPr>
          <w:p w:rsidR="00293948" w:rsidRPr="00195F41" w:rsidRDefault="002939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00B0F0"/>
          </w:tcPr>
          <w:p w:rsidR="00293948" w:rsidRPr="00195F41" w:rsidRDefault="00293948" w:rsidP="00466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Physical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293948" w:rsidRPr="00195F41" w:rsidRDefault="00293948" w:rsidP="00466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3718" w:type="dxa"/>
            <w:gridSpan w:val="2"/>
            <w:tcBorders>
              <w:left w:val="single" w:sz="4" w:space="0" w:color="auto"/>
            </w:tcBorders>
            <w:shd w:val="clear" w:color="auto" w:fill="4F81BD" w:themeFill="accent1"/>
          </w:tcPr>
          <w:p w:rsidR="00293948" w:rsidRPr="00195F41" w:rsidRDefault="00A52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Characteristics of Effective Learning</w:t>
            </w:r>
          </w:p>
        </w:tc>
      </w:tr>
      <w:tr w:rsidR="00BD7BD6" w:rsidRPr="00195F41" w:rsidTr="00E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7"/>
        </w:trPr>
        <w:tc>
          <w:tcPr>
            <w:tcW w:w="3652" w:type="dxa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Confident to speak in a familiar group, will talk about their ideas, and will choose the resources they need for their chosen activities.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Say when they do or don’t need help.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Adjust behaviour to different situations, and take changes of routine in their stride.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Show sensitivity to others’ needs and feelings, and form positive relationships with adults and other children.  </w:t>
            </w:r>
          </w:p>
        </w:tc>
        <w:tc>
          <w:tcPr>
            <w:tcW w:w="3119" w:type="dxa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Move confidently in a range of ways, safely negotiating space.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Handle equipment and tools effectively, including pencils for writing.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Know the importance for good health of physical exercise, and a heathy diet, and talk about ways to keep healthy and safe.</w:t>
            </w:r>
          </w:p>
          <w:p w:rsidR="00BD7BD6" w:rsidRPr="00195F41" w:rsidRDefault="00BD7BD6" w:rsidP="00BD7B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D7BD6" w:rsidRPr="00195F41" w:rsidRDefault="00BD7BD6" w:rsidP="00BD7B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Give attention to what others say and respond appropriately, while engaged in another activity.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Answer ‘how’ and ‘why’ questions about their experiences and in response to stories or events.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Develop their own narratives and explanations by connecting ideas or events.</w:t>
            </w:r>
          </w:p>
          <w:p w:rsidR="00BD7BD6" w:rsidRPr="00195F41" w:rsidRDefault="00BD7BD6" w:rsidP="00BD7B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gridSpan w:val="2"/>
          </w:tcPr>
          <w:p w:rsidR="00BD7BD6" w:rsidRDefault="00195F41" w:rsidP="00BD7BD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willing to have a go: Showing a can do attitude.</w:t>
            </w:r>
          </w:p>
          <w:p w:rsidR="00195F41" w:rsidRDefault="00195F41" w:rsidP="00BD7BD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Playing with what they know: Representing their experiences in play.</w:t>
            </w:r>
          </w:p>
          <w:p w:rsidR="00195F41" w:rsidRPr="00195F41" w:rsidRDefault="00195F41" w:rsidP="00BD7BD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Finding out and exploring: Showing particular interests; engaging in an open ended activity; uses senses to explore the world around them. </w:t>
            </w:r>
          </w:p>
        </w:tc>
      </w:tr>
      <w:tr w:rsidR="0095745B" w:rsidRPr="00195F41" w:rsidTr="00E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FFFF00"/>
          </w:tcPr>
          <w:p w:rsidR="0095745B" w:rsidRPr="00195F41" w:rsidRDefault="0095745B" w:rsidP="0095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Literacy</w:t>
            </w:r>
          </w:p>
        </w:tc>
        <w:tc>
          <w:tcPr>
            <w:tcW w:w="3119" w:type="dxa"/>
            <w:shd w:val="clear" w:color="auto" w:fill="1F497D" w:themeFill="text2"/>
          </w:tcPr>
          <w:p w:rsidR="0095745B" w:rsidRPr="00195F41" w:rsidRDefault="0095745B" w:rsidP="0095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shd w:val="clear" w:color="auto" w:fill="FF3300"/>
          </w:tcPr>
          <w:p w:rsidR="0095745B" w:rsidRPr="00195F41" w:rsidRDefault="0095745B" w:rsidP="0095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3718" w:type="dxa"/>
            <w:gridSpan w:val="2"/>
            <w:shd w:val="clear" w:color="auto" w:fill="FF0066"/>
          </w:tcPr>
          <w:p w:rsidR="0095745B" w:rsidRPr="00195F41" w:rsidRDefault="0095745B" w:rsidP="00957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F41">
              <w:rPr>
                <w:rFonts w:ascii="Arial" w:hAnsi="Arial" w:cs="Arial"/>
                <w:b/>
                <w:sz w:val="16"/>
                <w:szCs w:val="16"/>
              </w:rPr>
              <w:t>Expressive Arts</w:t>
            </w:r>
          </w:p>
        </w:tc>
      </w:tr>
      <w:tr w:rsidR="00BD7BD6" w:rsidRPr="00195F41" w:rsidTr="00E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Read and understand simple sentences.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Use phonic knowledge to decode regular words and read them aloud accurately.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Read some common irregular words.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Demonstrate understanding when they talk to others about what they have read.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Use phonic knowledge to write words in ways which match their spoken sounds.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Write some irregular common words.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Write simple sentences which can be read by themselves and others. Some words are spelt correctly and others are phonetically plausible. </w:t>
            </w:r>
          </w:p>
        </w:tc>
        <w:tc>
          <w:tcPr>
            <w:tcW w:w="3119" w:type="dxa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Solve problems, including doubling, halving and sharing.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Recognise, create and describe patters.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Explore characteristics of everyday objects and shapes and use mathematical language to describe them. </w:t>
            </w:r>
          </w:p>
          <w:p w:rsidR="00BD7BD6" w:rsidRPr="00195F41" w:rsidRDefault="00BD7BD6" w:rsidP="00964C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D7BD6" w:rsidRPr="00195F41" w:rsidRDefault="00BD7BD6" w:rsidP="00964C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Know about similarities and differences between themselves and others, and among families, communities and traditions.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>Make observations of animals and plants and explain why some things occur, and talk about changes.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Select and use technology for particular purposes. </w:t>
            </w:r>
          </w:p>
          <w:p w:rsidR="00BD7BD6" w:rsidRPr="00195F41" w:rsidRDefault="00BD7BD6" w:rsidP="00BD7BD6">
            <w:pPr>
              <w:pStyle w:val="Default"/>
              <w:ind w:left="317" w:hanging="317"/>
              <w:rPr>
                <w:rFonts w:ascii="Arial" w:hAnsi="Arial" w:cs="Arial"/>
                <w:sz w:val="16"/>
                <w:szCs w:val="16"/>
              </w:rPr>
            </w:pPr>
          </w:p>
          <w:p w:rsidR="00BD7BD6" w:rsidRPr="00195F41" w:rsidRDefault="00BD7BD6" w:rsidP="00964C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D7BD6" w:rsidRPr="00195F41" w:rsidRDefault="00BD7BD6" w:rsidP="00964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8" w:type="dxa"/>
            <w:gridSpan w:val="2"/>
          </w:tcPr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Sing songs, make music and dance, and experiment with ways of changing them. </w:t>
            </w:r>
          </w:p>
          <w:p w:rsidR="00BD7BD6" w:rsidRPr="00195F41" w:rsidRDefault="00BD7BD6" w:rsidP="00BD7BD6">
            <w:pPr>
              <w:pStyle w:val="Default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195F41">
              <w:rPr>
                <w:rFonts w:ascii="Arial" w:hAnsi="Arial" w:cs="Arial"/>
                <w:sz w:val="16"/>
                <w:szCs w:val="16"/>
              </w:rPr>
              <w:t xml:space="preserve">Children use what they have learnt about media and materials in original ways, thinking about uses and purposes. </w:t>
            </w:r>
          </w:p>
          <w:p w:rsidR="00BD7BD6" w:rsidRPr="00195F41" w:rsidRDefault="00BD7BD6" w:rsidP="00964CE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D7BD6" w:rsidRPr="00195F41" w:rsidRDefault="00BD7BD6" w:rsidP="00964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DAA" w:rsidRPr="00195F41" w:rsidRDefault="00E87DAA" w:rsidP="009E07DB">
      <w:pPr>
        <w:rPr>
          <w:rFonts w:ascii="Arial" w:hAnsi="Arial" w:cs="Arial"/>
          <w:sz w:val="16"/>
          <w:szCs w:val="16"/>
        </w:rPr>
      </w:pPr>
    </w:p>
    <w:sectPr w:rsidR="00E87DAA" w:rsidRPr="00195F41" w:rsidSect="00F9358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69" w:rsidRDefault="005C1E69" w:rsidP="00E759A6">
      <w:pPr>
        <w:spacing w:after="0" w:line="240" w:lineRule="auto"/>
      </w:pPr>
      <w:r>
        <w:separator/>
      </w:r>
    </w:p>
  </w:endnote>
  <w:endnote w:type="continuationSeparator" w:id="0">
    <w:p w:rsidR="005C1E69" w:rsidRDefault="005C1E69" w:rsidP="00E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69" w:rsidRDefault="005C1E69" w:rsidP="00E759A6">
      <w:pPr>
        <w:spacing w:after="0" w:line="240" w:lineRule="auto"/>
      </w:pPr>
      <w:r>
        <w:separator/>
      </w:r>
    </w:p>
  </w:footnote>
  <w:footnote w:type="continuationSeparator" w:id="0">
    <w:p w:rsidR="005C1E69" w:rsidRDefault="005C1E69" w:rsidP="00E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A6" w:rsidRDefault="00E759A6" w:rsidP="00E759A6">
    <w:pPr>
      <w:pStyle w:val="Header"/>
      <w:jc w:val="center"/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924560</wp:posOffset>
          </wp:positionH>
          <wp:positionV relativeFrom="paragraph">
            <wp:posOffset>-252730</wp:posOffset>
          </wp:positionV>
          <wp:extent cx="648335" cy="651510"/>
          <wp:effectExtent l="0" t="0" r="0" b="0"/>
          <wp:wrapNone/>
          <wp:docPr id="3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7484110</wp:posOffset>
          </wp:positionH>
          <wp:positionV relativeFrom="paragraph">
            <wp:posOffset>-244475</wp:posOffset>
          </wp:positionV>
          <wp:extent cx="652145" cy="652145"/>
          <wp:effectExtent l="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56"/>
        <w:szCs w:val="56"/>
      </w:rPr>
      <w:t>Roby Park</w:t>
    </w:r>
    <w:r w:rsidRPr="00E1501B">
      <w:rPr>
        <w:rFonts w:ascii="Arial" w:hAnsi="Arial" w:cs="Arial"/>
        <w:sz w:val="56"/>
        <w:szCs w:val="56"/>
      </w:rPr>
      <w:t xml:space="preserve"> Primary School</w:t>
    </w:r>
    <w:r>
      <w:rPr>
        <w:rFonts w:ascii="Arial" w:hAnsi="Arial" w:cs="Arial"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BA0"/>
    <w:multiLevelType w:val="hybridMultilevel"/>
    <w:tmpl w:val="FC5E24B4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513"/>
    <w:multiLevelType w:val="hybridMultilevel"/>
    <w:tmpl w:val="92683ABE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3DF"/>
    <w:multiLevelType w:val="hybridMultilevel"/>
    <w:tmpl w:val="81AE7A00"/>
    <w:lvl w:ilvl="0" w:tplc="D5E431B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A139B"/>
    <w:multiLevelType w:val="hybridMultilevel"/>
    <w:tmpl w:val="01F68256"/>
    <w:lvl w:ilvl="0" w:tplc="AE7EC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7D77"/>
    <w:multiLevelType w:val="hybridMultilevel"/>
    <w:tmpl w:val="0272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7936"/>
    <w:multiLevelType w:val="hybridMultilevel"/>
    <w:tmpl w:val="CF5C8B0E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4F8E"/>
    <w:multiLevelType w:val="hybridMultilevel"/>
    <w:tmpl w:val="9DCAF544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2F69"/>
    <w:multiLevelType w:val="hybridMultilevel"/>
    <w:tmpl w:val="F1D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F0B2B"/>
    <w:multiLevelType w:val="hybridMultilevel"/>
    <w:tmpl w:val="328803FC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17622"/>
    <w:multiLevelType w:val="hybridMultilevel"/>
    <w:tmpl w:val="EEF61D08"/>
    <w:lvl w:ilvl="0" w:tplc="E8828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D3BEC"/>
    <w:multiLevelType w:val="hybridMultilevel"/>
    <w:tmpl w:val="FE1AAE0C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5C24"/>
    <w:multiLevelType w:val="hybridMultilevel"/>
    <w:tmpl w:val="D590AC00"/>
    <w:lvl w:ilvl="0" w:tplc="8536C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4B6B"/>
    <w:multiLevelType w:val="hybridMultilevel"/>
    <w:tmpl w:val="D084DC52"/>
    <w:lvl w:ilvl="0" w:tplc="7C6CC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004F2"/>
    <w:multiLevelType w:val="hybridMultilevel"/>
    <w:tmpl w:val="E682B6D6"/>
    <w:lvl w:ilvl="0" w:tplc="E88289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2"/>
    <w:rsid w:val="00102515"/>
    <w:rsid w:val="001870F0"/>
    <w:rsid w:val="00195F41"/>
    <w:rsid w:val="001A0F9C"/>
    <w:rsid w:val="001B27DF"/>
    <w:rsid w:val="001B46F7"/>
    <w:rsid w:val="001C73A7"/>
    <w:rsid w:val="001D54EA"/>
    <w:rsid w:val="00293948"/>
    <w:rsid w:val="003671F4"/>
    <w:rsid w:val="0042252C"/>
    <w:rsid w:val="004B3E31"/>
    <w:rsid w:val="00534E8F"/>
    <w:rsid w:val="005C1E69"/>
    <w:rsid w:val="00677CA6"/>
    <w:rsid w:val="007B0F44"/>
    <w:rsid w:val="00871C34"/>
    <w:rsid w:val="008E0B3A"/>
    <w:rsid w:val="009546A5"/>
    <w:rsid w:val="0095745B"/>
    <w:rsid w:val="009E07DB"/>
    <w:rsid w:val="00A528BB"/>
    <w:rsid w:val="00A71FE8"/>
    <w:rsid w:val="00BD7BD6"/>
    <w:rsid w:val="00CA700E"/>
    <w:rsid w:val="00CA7833"/>
    <w:rsid w:val="00D71278"/>
    <w:rsid w:val="00E61A80"/>
    <w:rsid w:val="00E759A6"/>
    <w:rsid w:val="00E75E20"/>
    <w:rsid w:val="00E87DAA"/>
    <w:rsid w:val="00E91409"/>
    <w:rsid w:val="00F93582"/>
    <w:rsid w:val="00FC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A6"/>
  </w:style>
  <w:style w:type="paragraph" w:styleId="Footer">
    <w:name w:val="footer"/>
    <w:basedOn w:val="Normal"/>
    <w:link w:val="FooterChar"/>
    <w:uiPriority w:val="99"/>
    <w:unhideWhenUsed/>
    <w:rsid w:val="00E7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A6"/>
  </w:style>
  <w:style w:type="paragraph" w:styleId="Footer">
    <w:name w:val="footer"/>
    <w:basedOn w:val="Normal"/>
    <w:link w:val="FooterChar"/>
    <w:uiPriority w:val="99"/>
    <w:unhideWhenUsed/>
    <w:rsid w:val="00E75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Doyle</dc:creator>
  <cp:lastModifiedBy>User</cp:lastModifiedBy>
  <cp:revision>2</cp:revision>
  <dcterms:created xsi:type="dcterms:W3CDTF">2019-09-10T14:21:00Z</dcterms:created>
  <dcterms:modified xsi:type="dcterms:W3CDTF">2019-09-10T14:21:00Z</dcterms:modified>
</cp:coreProperties>
</file>